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4D" w:rsidRDefault="00D80651">
      <w:pPr>
        <w:spacing w:before="177"/>
        <w:ind w:left="2709" w:right="19" w:firstLine="79"/>
        <w:rPr>
          <w:rFonts w:ascii="Times New Roman" w:hAnsi="Times New Roman"/>
          <w:sz w:val="20"/>
        </w:rPr>
      </w:pPr>
      <w:bookmarkStart w:id="0" w:name="_GoBack"/>
      <w:bookmarkEnd w:id="0"/>
      <w:r>
        <w:rPr>
          <w:noProof/>
        </w:rPr>
        <w:drawing>
          <wp:anchor distT="0" distB="0" distL="0" distR="0" simplePos="0" relativeHeight="251632640" behindDoc="0" locked="0" layoutInCell="1" allowOverlap="1">
            <wp:simplePos x="0" y="0"/>
            <wp:positionH relativeFrom="page">
              <wp:posOffset>685800</wp:posOffset>
            </wp:positionH>
            <wp:positionV relativeFrom="paragraph">
              <wp:posOffset>108227</wp:posOffset>
            </wp:positionV>
            <wp:extent cx="1569720" cy="2033016"/>
            <wp:effectExtent l="0" t="0" r="0" b="0"/>
            <wp:wrapNone/>
            <wp:docPr id="11" name="image34.jpeg" descr="John Boudreau Color In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4.jpeg"/>
                    <pic:cNvPicPr/>
                  </pic:nvPicPr>
                  <pic:blipFill>
                    <a:blip r:embed="rId7" cstate="print"/>
                    <a:stretch>
                      <a:fillRect/>
                    </a:stretch>
                  </pic:blipFill>
                  <pic:spPr>
                    <a:xfrm>
                      <a:off x="0" y="0"/>
                      <a:ext cx="1569720" cy="2033016"/>
                    </a:xfrm>
                    <a:prstGeom prst="rect">
                      <a:avLst/>
                    </a:prstGeom>
                  </pic:spPr>
                </pic:pic>
              </a:graphicData>
            </a:graphic>
          </wp:anchor>
        </w:drawing>
      </w:r>
      <w:r>
        <w:rPr>
          <w:rFonts w:ascii="Arial" w:hAnsi="Arial"/>
          <w:b/>
          <w:sz w:val="28"/>
        </w:rPr>
        <w:t>John W. Boudreau, Ph.D</w:t>
      </w:r>
      <w:r>
        <w:rPr>
          <w:rFonts w:ascii="Times New Roman" w:hAnsi="Times New Roman"/>
          <w:b/>
        </w:rPr>
        <w:t>.</w:t>
      </w:r>
      <w:r>
        <w:rPr>
          <w:rFonts w:ascii="Times New Roman" w:hAnsi="Times New Roman"/>
        </w:rPr>
        <w:t xml:space="preserve">, </w:t>
      </w:r>
      <w:r>
        <w:rPr>
          <w:rFonts w:ascii="Times New Roman" w:hAnsi="Times New Roman"/>
          <w:sz w:val="20"/>
        </w:rPr>
        <w:t xml:space="preserve">Professor and Research Director at the University of Southern California’s Marshall School of Business and Center for Effective Organizations, is recognized worldwide for breakthrough research on the bridge between superior human capital, talent and sustainable competitive advantage. Dr. Boudreau consults and conducts executive development with companies worldwide that seek to maximize their employees’ effectiveness by discovering the specific strategic bottom-line impact of superior people and human capital strategies. </w:t>
      </w:r>
      <w:hyperlink r:id="rId8">
        <w:r>
          <w:rPr>
            <w:rFonts w:ascii="Times New Roman" w:hAnsi="Times New Roman"/>
            <w:color w:val="0000FF"/>
            <w:sz w:val="20"/>
            <w:u w:val="single" w:color="0000FF"/>
          </w:rPr>
          <w:t>http://ceo.usc.edu/research_scientist/boudreau.html</w:t>
        </w:r>
      </w:hyperlink>
    </w:p>
    <w:p w:rsidR="00B25E4D" w:rsidRDefault="00B25E4D">
      <w:pPr>
        <w:pStyle w:val="BodyText"/>
        <w:rPr>
          <w:rFonts w:ascii="Times New Roman"/>
          <w:sz w:val="13"/>
        </w:rPr>
      </w:pPr>
    </w:p>
    <w:p w:rsidR="00B25E4D" w:rsidRDefault="00D80651">
      <w:pPr>
        <w:spacing w:before="91"/>
        <w:ind w:left="2709" w:right="19"/>
        <w:rPr>
          <w:rFonts w:ascii="Times New Roman"/>
          <w:i/>
          <w:sz w:val="20"/>
        </w:rPr>
      </w:pPr>
      <w:r>
        <w:rPr>
          <w:rFonts w:ascii="Times New Roman"/>
          <w:sz w:val="20"/>
        </w:rPr>
        <w:t xml:space="preserve">Dr. Boudreau has more than 200 publications including books such as </w:t>
      </w:r>
      <w:r>
        <w:rPr>
          <w:rFonts w:ascii="Times New Roman"/>
          <w:i/>
          <w:sz w:val="20"/>
        </w:rPr>
        <w:t xml:space="preserve">Lead the Work, </w:t>
      </w:r>
      <w:r>
        <w:rPr>
          <w:rFonts w:ascii="Times New Roman"/>
          <w:sz w:val="20"/>
        </w:rPr>
        <w:t xml:space="preserve">with Ravin </w:t>
      </w:r>
      <w:proofErr w:type="spellStart"/>
      <w:r>
        <w:rPr>
          <w:rFonts w:ascii="Times New Roman"/>
          <w:sz w:val="20"/>
        </w:rPr>
        <w:t>Jesuthasan</w:t>
      </w:r>
      <w:proofErr w:type="spellEnd"/>
      <w:r>
        <w:rPr>
          <w:rFonts w:ascii="Times New Roman"/>
          <w:sz w:val="20"/>
        </w:rPr>
        <w:t xml:space="preserve"> and David Creelman (Wiley, 2015), </w:t>
      </w:r>
      <w:r>
        <w:rPr>
          <w:rFonts w:ascii="Times New Roman"/>
          <w:i/>
          <w:sz w:val="20"/>
        </w:rPr>
        <w:t>Retooling HR: Using Proven Business Tools to Make Better Decisions about Talent</w:t>
      </w:r>
      <w:r>
        <w:rPr>
          <w:rFonts w:ascii="Times New Roman"/>
          <w:sz w:val="20"/>
        </w:rPr>
        <w:t xml:space="preserve">, (Harvard Business, 2010) and </w:t>
      </w:r>
      <w:r>
        <w:rPr>
          <w:rFonts w:ascii="Times New Roman"/>
          <w:i/>
          <w:sz w:val="20"/>
        </w:rPr>
        <w:t>Beyond HR: The New Science of Human Capital</w:t>
      </w:r>
      <w:r>
        <w:rPr>
          <w:rFonts w:ascii="Times New Roman"/>
          <w:sz w:val="20"/>
        </w:rPr>
        <w:t xml:space="preserve">, with Peter M. Ramstad (Harvard Business, 2007), </w:t>
      </w:r>
      <w:r>
        <w:rPr>
          <w:rFonts w:ascii="Times New Roman"/>
          <w:i/>
          <w:sz w:val="20"/>
        </w:rPr>
        <w:t xml:space="preserve">Short Introduction to Strategic Human Resources </w:t>
      </w:r>
      <w:r>
        <w:rPr>
          <w:rFonts w:ascii="Times New Roman"/>
          <w:sz w:val="20"/>
        </w:rPr>
        <w:t xml:space="preserve">with Wayne Cascio (Cambridge University Press, 2012), </w:t>
      </w:r>
      <w:r>
        <w:rPr>
          <w:rFonts w:ascii="Times New Roman"/>
          <w:i/>
          <w:sz w:val="20"/>
        </w:rPr>
        <w:t xml:space="preserve">Transformative HR, </w:t>
      </w:r>
      <w:r>
        <w:rPr>
          <w:rFonts w:ascii="Times New Roman"/>
          <w:sz w:val="20"/>
        </w:rPr>
        <w:t xml:space="preserve">with Ravin </w:t>
      </w:r>
      <w:proofErr w:type="spellStart"/>
      <w:r>
        <w:rPr>
          <w:rFonts w:ascii="Times New Roman"/>
          <w:sz w:val="20"/>
        </w:rPr>
        <w:t>Jesuthasan</w:t>
      </w:r>
      <w:proofErr w:type="spellEnd"/>
      <w:r>
        <w:rPr>
          <w:rFonts w:ascii="Times New Roman"/>
          <w:sz w:val="20"/>
        </w:rPr>
        <w:t xml:space="preserve"> (John Wiley and Sons, 2011), </w:t>
      </w:r>
      <w:r>
        <w:rPr>
          <w:rFonts w:ascii="Times New Roman"/>
          <w:i/>
          <w:sz w:val="20"/>
        </w:rPr>
        <w:t>Global</w:t>
      </w:r>
    </w:p>
    <w:p w:rsidR="00B25E4D" w:rsidRDefault="00D80651">
      <w:pPr>
        <w:spacing w:before="1"/>
        <w:ind w:left="820" w:right="207"/>
        <w:rPr>
          <w:rFonts w:ascii="Times New Roman"/>
          <w:sz w:val="20"/>
        </w:rPr>
      </w:pPr>
      <w:r>
        <w:rPr>
          <w:rFonts w:ascii="Times New Roman"/>
          <w:i/>
          <w:sz w:val="20"/>
        </w:rPr>
        <w:t>Trends in Human Resource Management: A Twenty-Year Analysis</w:t>
      </w:r>
      <w:r>
        <w:rPr>
          <w:rFonts w:ascii="Times New Roman"/>
          <w:sz w:val="20"/>
        </w:rPr>
        <w:t xml:space="preserve">, with Edward Lawler (Stanford University Press, 2015), and </w:t>
      </w:r>
      <w:r>
        <w:rPr>
          <w:rFonts w:ascii="Times New Roman"/>
          <w:i/>
          <w:sz w:val="20"/>
        </w:rPr>
        <w:t>Investing in People</w:t>
      </w:r>
      <w:r>
        <w:rPr>
          <w:rFonts w:ascii="Times New Roman"/>
          <w:sz w:val="20"/>
        </w:rPr>
        <w:t>, with Wayne F. Cascio, now in its second edition (Pearson, 2011.</w:t>
      </w:r>
    </w:p>
    <w:p w:rsidR="00B25E4D" w:rsidRDefault="00B25E4D">
      <w:pPr>
        <w:pStyle w:val="BodyText"/>
        <w:spacing w:before="10"/>
        <w:rPr>
          <w:rFonts w:ascii="Times New Roman"/>
          <w:sz w:val="20"/>
        </w:rPr>
      </w:pPr>
    </w:p>
    <w:p w:rsidR="00B25E4D" w:rsidRDefault="00D80651">
      <w:pPr>
        <w:ind w:left="100" w:right="207"/>
        <w:rPr>
          <w:rFonts w:ascii="Times New Roman" w:hAnsi="Times New Roman"/>
          <w:sz w:val="20"/>
        </w:rPr>
      </w:pPr>
      <w:r>
        <w:rPr>
          <w:rFonts w:ascii="Times New Roman" w:hAnsi="Times New Roman"/>
          <w:sz w:val="20"/>
        </w:rPr>
        <w:t xml:space="preserve">Dr. Boudreau’s large-scale research studies and focused field research addresses the future of the global HR profession, HR measurement and analytics, decision-based HR, executive mobility, HR information systems and organizational staffing and development. His scholarly research is published in </w:t>
      </w:r>
      <w:r>
        <w:rPr>
          <w:rFonts w:ascii="Times New Roman" w:hAnsi="Times New Roman"/>
          <w:i/>
          <w:sz w:val="20"/>
        </w:rPr>
        <w:t>Management Scienc</w:t>
      </w:r>
      <w:r>
        <w:rPr>
          <w:rFonts w:ascii="Times New Roman" w:hAnsi="Times New Roman"/>
          <w:sz w:val="20"/>
        </w:rPr>
        <w:t xml:space="preserve">e, </w:t>
      </w:r>
      <w:r>
        <w:rPr>
          <w:rFonts w:ascii="Times New Roman" w:hAnsi="Times New Roman"/>
          <w:i/>
          <w:sz w:val="20"/>
        </w:rPr>
        <w:t xml:space="preserve">Academy of Management Executive, Journal of Applied Psychology, Personnel Psychology, Asia-Pacific Human Resource Management, Human Resource Management, Journal of Vocational Behavior, Human Relations, Industrial Relations, </w:t>
      </w:r>
      <w:r>
        <w:rPr>
          <w:rFonts w:ascii="Times New Roman" w:hAnsi="Times New Roman"/>
          <w:sz w:val="20"/>
        </w:rPr>
        <w:t xml:space="preserve">and </w:t>
      </w:r>
      <w:r>
        <w:rPr>
          <w:rFonts w:ascii="Times New Roman" w:hAnsi="Times New Roman"/>
          <w:i/>
          <w:sz w:val="20"/>
        </w:rPr>
        <w:t>Journal of Human Resources Costing and Accounting</w:t>
      </w:r>
      <w:r>
        <w:rPr>
          <w:rFonts w:ascii="Times New Roman" w:hAnsi="Times New Roman"/>
          <w:sz w:val="20"/>
        </w:rPr>
        <w:t xml:space="preserve">. Features on his work have appeared in </w:t>
      </w:r>
      <w:r>
        <w:rPr>
          <w:rFonts w:ascii="Times New Roman" w:hAnsi="Times New Roman"/>
          <w:i/>
          <w:sz w:val="20"/>
        </w:rPr>
        <w:t>Harvard Business Review, The Wall Street Journal</w:t>
      </w:r>
      <w:r>
        <w:rPr>
          <w:rFonts w:ascii="Times New Roman" w:hAnsi="Times New Roman"/>
          <w:sz w:val="20"/>
        </w:rPr>
        <w:t xml:space="preserve">, </w:t>
      </w:r>
      <w:r>
        <w:rPr>
          <w:rFonts w:ascii="Times New Roman" w:hAnsi="Times New Roman"/>
          <w:i/>
          <w:sz w:val="20"/>
        </w:rPr>
        <w:t>Fortune</w:t>
      </w:r>
      <w:r>
        <w:rPr>
          <w:rFonts w:ascii="Times New Roman" w:hAnsi="Times New Roman"/>
          <w:sz w:val="20"/>
        </w:rPr>
        <w:t xml:space="preserve">, </w:t>
      </w:r>
      <w:r>
        <w:rPr>
          <w:rFonts w:ascii="Times New Roman" w:hAnsi="Times New Roman"/>
          <w:i/>
          <w:sz w:val="20"/>
        </w:rPr>
        <w:t xml:space="preserve">Fast Company </w:t>
      </w:r>
      <w:r>
        <w:rPr>
          <w:rFonts w:ascii="Times New Roman" w:hAnsi="Times New Roman"/>
          <w:sz w:val="20"/>
        </w:rPr>
        <w:t xml:space="preserve">and </w:t>
      </w:r>
      <w:r>
        <w:rPr>
          <w:rFonts w:ascii="Times New Roman" w:hAnsi="Times New Roman"/>
          <w:i/>
          <w:sz w:val="20"/>
        </w:rPr>
        <w:t>Business Week</w:t>
      </w:r>
      <w:r>
        <w:rPr>
          <w:rFonts w:ascii="Times New Roman" w:hAnsi="Times New Roman"/>
          <w:sz w:val="20"/>
        </w:rPr>
        <w:t>, among others.</w:t>
      </w:r>
    </w:p>
    <w:p w:rsidR="00B25E4D" w:rsidRDefault="00B25E4D">
      <w:pPr>
        <w:pStyle w:val="BodyText"/>
        <w:spacing w:before="7"/>
        <w:rPr>
          <w:rFonts w:ascii="Times New Roman"/>
          <w:sz w:val="20"/>
        </w:rPr>
      </w:pPr>
    </w:p>
    <w:p w:rsidR="00B25E4D" w:rsidRDefault="00D80651">
      <w:pPr>
        <w:ind w:left="100" w:right="207"/>
        <w:rPr>
          <w:rFonts w:ascii="Times New Roman" w:hAnsi="Times New Roman"/>
          <w:sz w:val="20"/>
        </w:rPr>
      </w:pPr>
      <w:r>
        <w:rPr>
          <w:rFonts w:ascii="Times New Roman" w:hAnsi="Times New Roman"/>
          <w:sz w:val="20"/>
        </w:rPr>
        <w:t>He is the recipient of the 2013 Michael Losey award from the Society for Human Resource Management (SHRM) for excellence in research that has enhanced the human resource profession. His research received the Academy of Management’s Organizational Behavior New Concept and Human Resource Scholarly Contribution awards. He received the 2009 Chairman’s Award from the International Association for Human Resources Information Management (IHRIM) for lifetime achievement in human resource information management. He is a Fellow of the National Academy of Human Resources, and the Society for Industrial and Organizational Psychology and American Psychological Association.</w:t>
      </w:r>
    </w:p>
    <w:p w:rsidR="00B25E4D" w:rsidRDefault="00B25E4D">
      <w:pPr>
        <w:pStyle w:val="BodyText"/>
        <w:spacing w:before="7"/>
        <w:rPr>
          <w:rFonts w:ascii="Times New Roman"/>
          <w:sz w:val="20"/>
        </w:rPr>
      </w:pPr>
    </w:p>
    <w:p w:rsidR="00B25E4D" w:rsidRDefault="00D80651">
      <w:pPr>
        <w:ind w:left="100" w:right="207"/>
        <w:rPr>
          <w:rFonts w:ascii="Times New Roman" w:hAnsi="Times New Roman"/>
          <w:sz w:val="20"/>
        </w:rPr>
      </w:pPr>
      <w:r>
        <w:rPr>
          <w:rFonts w:ascii="Times New Roman" w:hAnsi="Times New Roman"/>
          <w:sz w:val="20"/>
        </w:rPr>
        <w:t xml:space="preserve">Professor Boudreau was the first Visiting Director of Sun Microsystems’ unique Research and Development Laboratory for Human Capital. He co-authored a best-selling textbook on human resource management that reached its </w:t>
      </w:r>
      <w:proofErr w:type="gramStart"/>
      <w:r>
        <w:rPr>
          <w:rFonts w:ascii="Times New Roman" w:hAnsi="Times New Roman"/>
          <w:sz w:val="20"/>
        </w:rPr>
        <w:t>eight edition</w:t>
      </w:r>
      <w:proofErr w:type="gramEnd"/>
      <w:r>
        <w:rPr>
          <w:rFonts w:ascii="Times New Roman" w:hAnsi="Times New Roman"/>
          <w:sz w:val="20"/>
        </w:rPr>
        <w:t xml:space="preserve"> including Chinese, Czech, Spanish and other translations.</w:t>
      </w:r>
    </w:p>
    <w:p w:rsidR="00B25E4D" w:rsidRDefault="00B25E4D">
      <w:pPr>
        <w:pStyle w:val="BodyText"/>
        <w:rPr>
          <w:rFonts w:ascii="Times New Roman"/>
          <w:sz w:val="20"/>
        </w:rPr>
      </w:pPr>
    </w:p>
    <w:p w:rsidR="00B25E4D" w:rsidRDefault="00D80651">
      <w:pPr>
        <w:ind w:left="100" w:right="223"/>
        <w:rPr>
          <w:rFonts w:ascii="Times New Roman"/>
          <w:sz w:val="20"/>
        </w:rPr>
      </w:pPr>
      <w:r>
        <w:rPr>
          <w:rFonts w:ascii="Times New Roman"/>
          <w:sz w:val="20"/>
        </w:rPr>
        <w:t>The recipient of the General Mills Award for teaching innovations at Cornell University, Dr. Boudreau founded the Central Europe Human Resource Education Initiative, connecting American HR professionals and academic researchers with faculty and students in the Czech and Slovak Republics. A strong proponent of corporate/academic partnerships, Dr. Boudreau helped to establish and then directed the Center for Advanced Human Resource Studies (CAHRS), at Cornell University, where he was a professor for over 20 years, before his current position as Research Director for the Center for Effective Organizations, at the University of Southern California.</w:t>
      </w:r>
    </w:p>
    <w:p w:rsidR="00B25E4D" w:rsidRDefault="00B25E4D">
      <w:pPr>
        <w:pStyle w:val="BodyText"/>
        <w:spacing w:before="10"/>
        <w:rPr>
          <w:rFonts w:ascii="Times New Roman"/>
          <w:sz w:val="20"/>
        </w:rPr>
      </w:pPr>
    </w:p>
    <w:p w:rsidR="00B25E4D" w:rsidRDefault="00D80651">
      <w:pPr>
        <w:ind w:left="100" w:right="102"/>
        <w:rPr>
          <w:rFonts w:ascii="Times New Roman"/>
          <w:sz w:val="20"/>
        </w:rPr>
      </w:pPr>
      <w:r>
        <w:rPr>
          <w:rFonts w:ascii="Times New Roman"/>
          <w:sz w:val="20"/>
        </w:rPr>
        <w:t xml:space="preserve">Dr. Boudreau is a strategic advisor to a wide range of organizations, including early-stage companies, global corporations, government and military agencies, and non-profit organizations. He is a Foundation Trustee of the National Academy of Human Resources. He has served as a member of the board of advisors the Human Resource Planning Society and </w:t>
      </w:r>
      <w:proofErr w:type="spellStart"/>
      <w:r>
        <w:rPr>
          <w:rFonts w:ascii="Times New Roman"/>
          <w:sz w:val="20"/>
        </w:rPr>
        <w:t>WorldatWork</w:t>
      </w:r>
      <w:proofErr w:type="spellEnd"/>
      <w:r>
        <w:rPr>
          <w:rFonts w:ascii="Times New Roman"/>
          <w:sz w:val="20"/>
        </w:rPr>
        <w:t>. He chaired the Advisory Board of the California Strategic HR Partnership, a silicon-valley HR executive consortium, and served as an advisor to the Saratoga Institute, a global source of human capital benchmarking and performance measures. He has been elected to the executive committees of the Human Resources Division of the Academy of Management and the Society for Industrial and Organizational Psychology.</w:t>
      </w:r>
    </w:p>
    <w:p w:rsidR="00B25E4D" w:rsidRDefault="00B25E4D">
      <w:pPr>
        <w:pStyle w:val="BodyText"/>
        <w:spacing w:before="8"/>
        <w:rPr>
          <w:rFonts w:ascii="Times New Roman"/>
          <w:sz w:val="21"/>
        </w:rPr>
      </w:pPr>
    </w:p>
    <w:p w:rsidR="00B25E4D" w:rsidRDefault="00D80651">
      <w:pPr>
        <w:spacing w:line="249" w:lineRule="auto"/>
        <w:ind w:left="100" w:right="19"/>
        <w:rPr>
          <w:rFonts w:ascii="Times New Roman" w:hAnsi="Times New Roman"/>
          <w:sz w:val="20"/>
        </w:rPr>
      </w:pPr>
      <w:r>
        <w:rPr>
          <w:rFonts w:ascii="Times New Roman" w:hAnsi="Times New Roman"/>
          <w:sz w:val="20"/>
        </w:rPr>
        <w:t xml:space="preserve">Dr. Boudreau holds an undergraduate degree in business from New Mexico State University, and a </w:t>
      </w:r>
      <w:proofErr w:type="spellStart"/>
      <w:proofErr w:type="gramStart"/>
      <w:r>
        <w:rPr>
          <w:rFonts w:ascii="Times New Roman" w:hAnsi="Times New Roman"/>
          <w:sz w:val="20"/>
        </w:rPr>
        <w:t>Masters</w:t>
      </w:r>
      <w:proofErr w:type="spellEnd"/>
      <w:r>
        <w:rPr>
          <w:rFonts w:ascii="Times New Roman" w:hAnsi="Times New Roman"/>
          <w:sz w:val="20"/>
        </w:rPr>
        <w:t xml:space="preserve"> degree in Management</w:t>
      </w:r>
      <w:proofErr w:type="gramEnd"/>
      <w:r>
        <w:rPr>
          <w:rFonts w:ascii="Times New Roman" w:hAnsi="Times New Roman"/>
          <w:sz w:val="20"/>
        </w:rPr>
        <w:t xml:space="preserve"> and Ph.D. in industrial relations from Purdue University’s Krannert School of Management.</w:t>
      </w:r>
    </w:p>
    <w:sectPr w:rsidR="00B25E4D" w:rsidSect="00777D6C">
      <w:pgSz w:w="12240" w:h="15840"/>
      <w:pgMar w:top="1500" w:right="9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C7" w:rsidRDefault="00B849C7" w:rsidP="008C4B54">
      <w:r>
        <w:separator/>
      </w:r>
    </w:p>
  </w:endnote>
  <w:endnote w:type="continuationSeparator" w:id="0">
    <w:p w:rsidR="00B849C7" w:rsidRDefault="00B849C7" w:rsidP="008C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C7" w:rsidRDefault="00B849C7" w:rsidP="008C4B54">
      <w:r>
        <w:separator/>
      </w:r>
    </w:p>
  </w:footnote>
  <w:footnote w:type="continuationSeparator" w:id="0">
    <w:p w:rsidR="00B849C7" w:rsidRDefault="00B849C7" w:rsidP="008C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4641A"/>
    <w:multiLevelType w:val="hybridMultilevel"/>
    <w:tmpl w:val="FDA8BE60"/>
    <w:lvl w:ilvl="0" w:tplc="1664791A">
      <w:numFmt w:val="bullet"/>
      <w:lvlText w:val=""/>
      <w:lvlJc w:val="left"/>
      <w:pPr>
        <w:ind w:left="472" w:hanging="361"/>
      </w:pPr>
      <w:rPr>
        <w:rFonts w:ascii="Symbol" w:eastAsia="Symbol" w:hAnsi="Symbol" w:cs="Symbol" w:hint="default"/>
        <w:w w:val="100"/>
        <w:sz w:val="24"/>
        <w:szCs w:val="24"/>
      </w:rPr>
    </w:lvl>
    <w:lvl w:ilvl="1" w:tplc="54CA5EF0">
      <w:numFmt w:val="bullet"/>
      <w:lvlText w:val="•"/>
      <w:lvlJc w:val="left"/>
      <w:pPr>
        <w:ind w:left="1490" w:hanging="361"/>
      </w:pPr>
      <w:rPr>
        <w:rFonts w:hint="default"/>
      </w:rPr>
    </w:lvl>
    <w:lvl w:ilvl="2" w:tplc="71B47D26">
      <w:numFmt w:val="bullet"/>
      <w:lvlText w:val="•"/>
      <w:lvlJc w:val="left"/>
      <w:pPr>
        <w:ind w:left="2500" w:hanging="361"/>
      </w:pPr>
      <w:rPr>
        <w:rFonts w:hint="default"/>
      </w:rPr>
    </w:lvl>
    <w:lvl w:ilvl="3" w:tplc="A5F2C9F4">
      <w:numFmt w:val="bullet"/>
      <w:lvlText w:val="•"/>
      <w:lvlJc w:val="left"/>
      <w:pPr>
        <w:ind w:left="3510" w:hanging="361"/>
      </w:pPr>
      <w:rPr>
        <w:rFonts w:hint="default"/>
      </w:rPr>
    </w:lvl>
    <w:lvl w:ilvl="4" w:tplc="19DA048A">
      <w:numFmt w:val="bullet"/>
      <w:lvlText w:val="•"/>
      <w:lvlJc w:val="left"/>
      <w:pPr>
        <w:ind w:left="4520" w:hanging="361"/>
      </w:pPr>
      <w:rPr>
        <w:rFonts w:hint="default"/>
      </w:rPr>
    </w:lvl>
    <w:lvl w:ilvl="5" w:tplc="81C250DE">
      <w:numFmt w:val="bullet"/>
      <w:lvlText w:val="•"/>
      <w:lvlJc w:val="left"/>
      <w:pPr>
        <w:ind w:left="5530" w:hanging="361"/>
      </w:pPr>
      <w:rPr>
        <w:rFonts w:hint="default"/>
      </w:rPr>
    </w:lvl>
    <w:lvl w:ilvl="6" w:tplc="AF1A0FF8">
      <w:numFmt w:val="bullet"/>
      <w:lvlText w:val="•"/>
      <w:lvlJc w:val="left"/>
      <w:pPr>
        <w:ind w:left="6540" w:hanging="361"/>
      </w:pPr>
      <w:rPr>
        <w:rFonts w:hint="default"/>
      </w:rPr>
    </w:lvl>
    <w:lvl w:ilvl="7" w:tplc="E59C1754">
      <w:numFmt w:val="bullet"/>
      <w:lvlText w:val="•"/>
      <w:lvlJc w:val="left"/>
      <w:pPr>
        <w:ind w:left="7550" w:hanging="361"/>
      </w:pPr>
      <w:rPr>
        <w:rFonts w:hint="default"/>
      </w:rPr>
    </w:lvl>
    <w:lvl w:ilvl="8" w:tplc="3CE232A0">
      <w:numFmt w:val="bullet"/>
      <w:lvlText w:val="•"/>
      <w:lvlJc w:val="left"/>
      <w:pPr>
        <w:ind w:left="85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4D"/>
    <w:rsid w:val="000D6320"/>
    <w:rsid w:val="00311CAE"/>
    <w:rsid w:val="003A077A"/>
    <w:rsid w:val="004D4B71"/>
    <w:rsid w:val="00532A23"/>
    <w:rsid w:val="00652E51"/>
    <w:rsid w:val="00777D6C"/>
    <w:rsid w:val="007E0166"/>
    <w:rsid w:val="008C4B54"/>
    <w:rsid w:val="009F168E"/>
    <w:rsid w:val="00AE5413"/>
    <w:rsid w:val="00B25E4D"/>
    <w:rsid w:val="00B551DA"/>
    <w:rsid w:val="00B849C7"/>
    <w:rsid w:val="00D05D02"/>
    <w:rsid w:val="00D80651"/>
    <w:rsid w:val="00E2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D80A9F-E600-4942-B3A0-6302367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3489" w:hanging="1616"/>
      <w:outlineLvl w:val="0"/>
    </w:pPr>
    <w:rPr>
      <w:b/>
      <w:bCs/>
      <w:sz w:val="36"/>
      <w:szCs w:val="36"/>
    </w:rPr>
  </w:style>
  <w:style w:type="paragraph" w:styleId="Heading2">
    <w:name w:val="heading 2"/>
    <w:basedOn w:val="Normal"/>
    <w:uiPriority w:val="1"/>
    <w:qFormat/>
    <w:pPr>
      <w:spacing w:before="22"/>
      <w:ind w:left="120"/>
      <w:outlineLvl w:val="1"/>
    </w:pPr>
    <w:rPr>
      <w:sz w:val="36"/>
      <w:szCs w:val="36"/>
    </w:rPr>
  </w:style>
  <w:style w:type="paragraph" w:styleId="Heading3">
    <w:name w:val="heading 3"/>
    <w:basedOn w:val="Normal"/>
    <w:uiPriority w:val="1"/>
    <w:qFormat/>
    <w:pPr>
      <w:spacing w:before="99"/>
      <w:ind w:left="100"/>
      <w:outlineLvl w:val="2"/>
    </w:pPr>
    <w:rPr>
      <w:b/>
      <w:bCs/>
      <w:sz w:val="32"/>
      <w:szCs w:val="32"/>
    </w:rPr>
  </w:style>
  <w:style w:type="paragraph" w:styleId="Heading4">
    <w:name w:val="heading 4"/>
    <w:basedOn w:val="Normal"/>
    <w:uiPriority w:val="1"/>
    <w:qFormat/>
    <w:pPr>
      <w:spacing w:before="89"/>
      <w:ind w:left="100"/>
      <w:outlineLvl w:val="3"/>
    </w:pPr>
    <w:rPr>
      <w:rFonts w:ascii="Times New Roman" w:eastAsia="Times New Roman" w:hAnsi="Times New Roman" w:cs="Times New Roman"/>
      <w:b/>
      <w:bCs/>
      <w:sz w:val="28"/>
      <w:szCs w:val="28"/>
    </w:rPr>
  </w:style>
  <w:style w:type="paragraph" w:styleId="Heading5">
    <w:name w:val="heading 5"/>
    <w:basedOn w:val="Normal"/>
    <w:uiPriority w:val="1"/>
    <w:qFormat/>
    <w:pPr>
      <w:ind w:left="100" w:hanging="10"/>
      <w:outlineLvl w:val="4"/>
    </w:pPr>
    <w:rPr>
      <w:rFonts w:ascii="Cambria" w:eastAsia="Cambria" w:hAnsi="Cambria" w:cs="Cambria"/>
      <w:sz w:val="28"/>
      <w:szCs w:val="28"/>
    </w:rPr>
  </w:style>
  <w:style w:type="paragraph" w:styleId="Heading6">
    <w:name w:val="heading 6"/>
    <w:basedOn w:val="Normal"/>
    <w:uiPriority w:val="1"/>
    <w:qFormat/>
    <w:pPr>
      <w:spacing w:before="1"/>
      <w:ind w:left="1512"/>
      <w:outlineLvl w:val="5"/>
    </w:pPr>
    <w:rPr>
      <w:rFonts w:ascii="Times New Roman" w:eastAsia="Times New Roman" w:hAnsi="Times New Roman" w:cs="Times New Roman"/>
      <w:b/>
      <w:bCs/>
      <w:sz w:val="27"/>
      <w:szCs w:val="27"/>
    </w:rPr>
  </w:style>
  <w:style w:type="paragraph" w:styleId="Heading7">
    <w:name w:val="heading 7"/>
    <w:basedOn w:val="Normal"/>
    <w:uiPriority w:val="1"/>
    <w:qFormat/>
    <w:pPr>
      <w:ind w:left="106"/>
      <w:outlineLvl w:val="6"/>
    </w:pPr>
    <w:rPr>
      <w:rFonts w:ascii="Arial" w:eastAsia="Arial" w:hAnsi="Arial" w:cs="Arial"/>
      <w:b/>
      <w:bCs/>
      <w:sz w:val="24"/>
      <w:szCs w:val="24"/>
    </w:rPr>
  </w:style>
  <w:style w:type="paragraph" w:styleId="Heading8">
    <w:name w:val="heading 8"/>
    <w:basedOn w:val="Normal"/>
    <w:uiPriority w:val="1"/>
    <w:qFormat/>
    <w:pPr>
      <w:ind w:left="100"/>
      <w:outlineLvl w:val="7"/>
    </w:pPr>
    <w:rPr>
      <w:rFonts w:ascii="Times New Roman" w:eastAsia="Times New Roman" w:hAnsi="Times New Roman" w:cs="Times New Roman"/>
      <w:sz w:val="24"/>
      <w:szCs w:val="24"/>
    </w:rPr>
  </w:style>
  <w:style w:type="paragraph" w:styleId="Heading9">
    <w:name w:val="heading 9"/>
    <w:basedOn w:val="Normal"/>
    <w:uiPriority w:val="1"/>
    <w:qFormat/>
    <w:pPr>
      <w:ind w:left="111" w:right="1468" w:firstLine="4"/>
      <w:outlineLvl w:val="8"/>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72" w:right="13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65"/>
      <w:ind w:left="200"/>
    </w:pPr>
    <w:rPr>
      <w:rFonts w:ascii="Ebrima" w:eastAsia="Ebrima" w:hAnsi="Ebrima" w:cs="Ebrima"/>
    </w:rPr>
  </w:style>
  <w:style w:type="paragraph" w:styleId="EnvelopeAddress">
    <w:name w:val="envelope address"/>
    <w:basedOn w:val="Normal"/>
    <w:uiPriority w:val="99"/>
    <w:semiHidden/>
    <w:unhideWhenUsed/>
    <w:rsid w:val="007E0166"/>
    <w:pPr>
      <w:framePr w:w="7920" w:h="1980" w:hRule="exact" w:hSpace="180" w:wrap="auto" w:hAnchor="page" w:xAlign="center" w:yAlign="bottom"/>
      <w:widowControl/>
      <w:autoSpaceDE/>
      <w:autoSpaceDN/>
      <w:ind w:left="2880"/>
    </w:pPr>
    <w:rPr>
      <w:rFonts w:eastAsia="Times New Roman" w:cs="Arial"/>
      <w:sz w:val="24"/>
      <w:szCs w:val="24"/>
    </w:rPr>
  </w:style>
  <w:style w:type="paragraph" w:styleId="Header">
    <w:name w:val="header"/>
    <w:basedOn w:val="Normal"/>
    <w:link w:val="HeaderChar"/>
    <w:uiPriority w:val="99"/>
    <w:unhideWhenUsed/>
    <w:rsid w:val="008C4B54"/>
    <w:pPr>
      <w:tabs>
        <w:tab w:val="center" w:pos="4680"/>
        <w:tab w:val="right" w:pos="9360"/>
      </w:tabs>
    </w:pPr>
  </w:style>
  <w:style w:type="character" w:customStyle="1" w:styleId="HeaderChar">
    <w:name w:val="Header Char"/>
    <w:basedOn w:val="DefaultParagraphFont"/>
    <w:link w:val="Header"/>
    <w:uiPriority w:val="99"/>
    <w:rsid w:val="008C4B54"/>
    <w:rPr>
      <w:rFonts w:ascii="Calibri" w:eastAsia="Calibri" w:hAnsi="Calibri" w:cs="Calibri"/>
    </w:rPr>
  </w:style>
  <w:style w:type="paragraph" w:styleId="Footer">
    <w:name w:val="footer"/>
    <w:basedOn w:val="Normal"/>
    <w:link w:val="FooterChar"/>
    <w:uiPriority w:val="99"/>
    <w:unhideWhenUsed/>
    <w:rsid w:val="008C4B54"/>
    <w:pPr>
      <w:tabs>
        <w:tab w:val="center" w:pos="4680"/>
        <w:tab w:val="right" w:pos="9360"/>
      </w:tabs>
    </w:pPr>
  </w:style>
  <w:style w:type="character" w:customStyle="1" w:styleId="FooterChar">
    <w:name w:val="Footer Char"/>
    <w:basedOn w:val="DefaultParagraphFont"/>
    <w:link w:val="Footer"/>
    <w:uiPriority w:val="99"/>
    <w:rsid w:val="008C4B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68462">
      <w:bodyDiv w:val="1"/>
      <w:marLeft w:val="0"/>
      <w:marRight w:val="0"/>
      <w:marTop w:val="0"/>
      <w:marBottom w:val="0"/>
      <w:divBdr>
        <w:top w:val="none" w:sz="0" w:space="0" w:color="auto"/>
        <w:left w:val="none" w:sz="0" w:space="0" w:color="auto"/>
        <w:bottom w:val="none" w:sz="0" w:space="0" w:color="auto"/>
        <w:right w:val="none" w:sz="0" w:space="0" w:color="auto"/>
      </w:divBdr>
    </w:div>
    <w:div w:id="620068289">
      <w:bodyDiv w:val="1"/>
      <w:marLeft w:val="0"/>
      <w:marRight w:val="0"/>
      <w:marTop w:val="0"/>
      <w:marBottom w:val="0"/>
      <w:divBdr>
        <w:top w:val="none" w:sz="0" w:space="0" w:color="auto"/>
        <w:left w:val="none" w:sz="0" w:space="0" w:color="auto"/>
        <w:bottom w:val="none" w:sz="0" w:space="0" w:color="auto"/>
        <w:right w:val="none" w:sz="0" w:space="0" w:color="auto"/>
      </w:divBdr>
    </w:div>
    <w:div w:id="768813146">
      <w:bodyDiv w:val="1"/>
      <w:marLeft w:val="0"/>
      <w:marRight w:val="0"/>
      <w:marTop w:val="0"/>
      <w:marBottom w:val="0"/>
      <w:divBdr>
        <w:top w:val="none" w:sz="0" w:space="0" w:color="auto"/>
        <w:left w:val="none" w:sz="0" w:space="0" w:color="auto"/>
        <w:bottom w:val="none" w:sz="0" w:space="0" w:color="auto"/>
        <w:right w:val="none" w:sz="0" w:space="0" w:color="auto"/>
      </w:divBdr>
    </w:div>
    <w:div w:id="823855387">
      <w:bodyDiv w:val="1"/>
      <w:marLeft w:val="0"/>
      <w:marRight w:val="0"/>
      <w:marTop w:val="0"/>
      <w:marBottom w:val="0"/>
      <w:divBdr>
        <w:top w:val="none" w:sz="0" w:space="0" w:color="auto"/>
        <w:left w:val="none" w:sz="0" w:space="0" w:color="auto"/>
        <w:bottom w:val="none" w:sz="0" w:space="0" w:color="auto"/>
        <w:right w:val="none" w:sz="0" w:space="0" w:color="auto"/>
      </w:divBdr>
    </w:div>
    <w:div w:id="1298340427">
      <w:bodyDiv w:val="1"/>
      <w:marLeft w:val="0"/>
      <w:marRight w:val="0"/>
      <w:marTop w:val="0"/>
      <w:marBottom w:val="0"/>
      <w:divBdr>
        <w:top w:val="none" w:sz="0" w:space="0" w:color="auto"/>
        <w:left w:val="none" w:sz="0" w:space="0" w:color="auto"/>
        <w:bottom w:val="none" w:sz="0" w:space="0" w:color="auto"/>
        <w:right w:val="none" w:sz="0" w:space="0" w:color="auto"/>
      </w:divBdr>
    </w:div>
    <w:div w:id="1884176843">
      <w:bodyDiv w:val="1"/>
      <w:marLeft w:val="0"/>
      <w:marRight w:val="0"/>
      <w:marTop w:val="0"/>
      <w:marBottom w:val="0"/>
      <w:divBdr>
        <w:top w:val="none" w:sz="0" w:space="0" w:color="auto"/>
        <w:left w:val="none" w:sz="0" w:space="0" w:color="auto"/>
        <w:bottom w:val="none" w:sz="0" w:space="0" w:color="auto"/>
        <w:right w:val="none" w:sz="0" w:space="0" w:color="auto"/>
      </w:divBdr>
    </w:div>
    <w:div w:id="198469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eo.usc.edu/research_scientist/boudreau.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THARP</dc:creator>
  <cp:lastModifiedBy>Quinn, Shelly</cp:lastModifiedBy>
  <cp:revision>2</cp:revision>
  <dcterms:created xsi:type="dcterms:W3CDTF">2020-06-29T16:13:00Z</dcterms:created>
  <dcterms:modified xsi:type="dcterms:W3CDTF">2020-06-29T16:13:00Z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Adobe Acrobat Pro DC 15.6.30174</vt:lpwstr>
  </property>
  <property fmtid="{D5CDD505-2E9C-101B-9397-08002B2CF9AE}" pid="4" name="LastSaved">
    <vt:filetime>2017-05-01T00:00:00Z</vt:filetime>
  </property>
</Properties>
</file>